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219420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ITB-7SF0075M0A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Wärmebild Netzwerk Kamera, 7,5mm, 45°, 336x256, 25Hz, Audio, Composite,  PoE,  IP67</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Wärmebildkamera mit Ethernet und Composite Ausgang</w:t>
      </w:r>
    </w:p>
    <w:p>
      <w:pPr>
        <w:pStyle w:val="p2Style"/>
      </w:pPr>
      <w:r>
        <w:rPr>
          <w:rStyle w:val="textStyle"/>
        </w:rPr>
        <w:t xml:space="preserve">Auflösung 336x256 Pixel, 25 Hz</w:t>
      </w:r>
    </w:p>
    <w:p>
      <w:pPr>
        <w:pStyle w:val="p2Style"/>
      </w:pPr>
      <w:r>
        <w:rPr>
          <w:rStyle w:val="textStyle"/>
        </w:rPr>
        <w:t xml:space="preserve">7,5mm Objektiv,45° Bildwinkel</w:t>
      </w:r>
    </w:p>
    <w:p>
      <w:pPr>
        <w:pStyle w:val="p2Style"/>
      </w:pPr>
      <w:r>
        <w:rPr>
          <w:rStyle w:val="textStyle"/>
        </w:rPr>
        <w:t xml:space="preserve">Einfache Bedienung,USB Remote Anschluss</w:t>
      </w:r>
    </w:p>
    <w:p>
      <w:pPr>
        <w:pStyle w:val="p2Style"/>
      </w:pPr>
      <w:r>
        <w:rPr>
          <w:rStyle w:val="textStyle"/>
        </w:rPr>
        <w:t xml:space="preserve">Alarm Ausgangs Kontakt triggert via Temperaturmessung</w:t>
      </w:r>
    </w:p>
    <w:p>
      <w:pPr>
        <w:pStyle w:val="p2Style"/>
      </w:pPr>
      <w:r>
        <w:rPr>
          <w:rStyle w:val="textStyle"/>
        </w:rPr>
        <w:t xml:space="preserve">Triple Streaming: 2x H.264, 1x MJPEG</w:t>
      </w:r>
    </w:p>
    <w:p>
      <w:pPr>
        <w:pStyle w:val="p2Style"/>
      </w:pPr>
      <w:r>
        <w:rPr>
          <w:rStyle w:val="textStyle"/>
        </w:rPr>
        <w:t xml:space="preserve">Cross Web Browsing (IE, Safari, Firefox, Chrome)</w:t>
      </w:r>
    </w:p>
    <w:p>
      <w:pPr>
        <w:pStyle w:val="p2Style"/>
      </w:pPr>
      <w:r>
        <w:rPr>
          <w:rStyle w:val="textStyle"/>
        </w:rPr>
        <w:t xml:space="preserve">VerticalView 90°/270°, Audio</w:t>
      </w:r>
    </w:p>
    <w:p>
      <w:pPr>
        <w:pStyle w:val="p2Style"/>
      </w:pPr>
      <w:r>
        <w:rPr>
          <w:rStyle w:val="textStyle"/>
        </w:rPr>
        <w:t xml:space="preserve">Responsive Web Design, Zero Konfiguration</w:t>
      </w:r>
    </w:p>
    <w:p>
      <w:pPr>
        <w:pStyle w:val="p2Style"/>
      </w:pPr>
      <w:r>
        <w:rPr>
          <w:rStyle w:val="textStyle"/>
        </w:rPr>
        <w:t xml:space="preserve">HTLM5 Wiedergabe, Steckplatz für Micro SD-Speicherkarte</w:t>
      </w:r>
    </w:p>
    <w:p>
      <w:pPr>
        <w:pStyle w:val="p2Style"/>
      </w:pPr>
      <w:r>
        <w:rPr>
          <w:rStyle w:val="textStyle"/>
        </w:rPr>
        <w:t xml:space="preserve">Einfache Installation, Fixierung über zentrale Schraube</w:t>
      </w:r>
    </w:p>
    <w:p>
      <w:pPr>
        <w:pStyle w:val="p2Style"/>
      </w:pPr>
      <w:r>
        <w:rPr>
          <w:rStyle w:val="textStyle"/>
        </w:rPr>
        <w:t xml:space="preserve">Flexible Spannungsversorgung 12VDC,24VAC oder PoE</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eneo Candid Medium, eneo Premium Class</w:t>
            </w:r>
          </w:p>
        </w:tc>
      </w:tr>
      <w:tr>
        <w:tc>
          <w:tcPr>
            <w:tcW w:w="4500" w:type="dxa"/>
            <w:vAlign w:val="top"/>
          </w:tcPr>
          <w:p>
            <w:pPr>
              <w:spacing w:after="10"/>
            </w:pPr>
            <w:r>
              <w:rPr>
                <w:rStyle w:val=""/>
              </w:rPr>
              <w:t xml:space="preserve">Auflösung Pixel</w:t>
            </w:r>
          </w:p>
        </w:tc>
        <w:tc>
          <w:tcPr>
            <w:tcW w:w="4500" w:type="dxa"/>
            <w:vAlign w:val="top"/>
          </w:tcPr>
          <w:p>
            <w:pPr>
              <w:spacing w:after="10"/>
            </w:pPr>
            <w:r>
              <w:rPr>
                <w:rStyle w:val=""/>
              </w:rPr>
              <w:t xml:space="preserve">336x256</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Wärmebild</w:t>
            </w:r>
          </w:p>
        </w:tc>
      </w:tr>
      <w:tr>
        <w:tc>
          <w:tcPr>
            <w:tcW w:w="4500" w:type="dxa"/>
            <w:vAlign w:val="top"/>
          </w:tcPr>
          <w:p>
            <w:pPr>
              <w:spacing w:after="10"/>
            </w:pPr>
            <w:r>
              <w:rPr>
                <w:rStyle w:val=""/>
              </w:rPr>
              <w:t xml:space="preserve">Videokompression</w:t>
            </w:r>
          </w:p>
        </w:tc>
        <w:tc>
          <w:tcPr>
            <w:tcW w:w="4500" w:type="dxa"/>
            <w:vAlign w:val="top"/>
          </w:tcPr>
          <w:p>
            <w:pPr>
              <w:spacing w:after="10"/>
            </w:pPr>
            <w:r>
              <w:rPr>
                <w:rStyle w:val=""/>
              </w:rPr>
              <w:t xml:space="preserve">H.264, M-JPEG</w:t>
            </w:r>
          </w:p>
        </w:tc>
      </w:tr>
      <w:tr>
        <w:tc>
          <w:tcPr>
            <w:tcW w:w="4500" w:type="dxa"/>
            <w:vAlign w:val="top"/>
          </w:tcPr>
          <w:p>
            <w:pPr>
              <w:spacing w:after="10"/>
            </w:pPr>
            <w:r>
              <w:rPr>
                <w:rStyle w:val=""/>
              </w:rPr>
              <w:t xml:space="preserve">Bildübertragungsrate max.</w:t>
            </w:r>
          </w:p>
        </w:tc>
        <w:tc>
          <w:tcPr>
            <w:tcW w:w="4500" w:type="dxa"/>
            <w:vAlign w:val="top"/>
          </w:tcPr>
          <w:p>
            <w:pPr>
              <w:spacing w:after="10"/>
            </w:pPr>
            <w:r>
              <w:rPr>
                <w:rStyle w:val=""/>
              </w:rPr>
              <w:t xml:space="preserve">25 fps</w:t>
            </w:r>
          </w:p>
        </w:tc>
      </w:tr>
      <w:tr>
        <w:tc>
          <w:tcPr>
            <w:tcW w:w="4500" w:type="dxa"/>
            <w:vAlign w:val="top"/>
          </w:tcPr>
          <w:p>
            <w:pPr>
              <w:spacing w:after="10"/>
            </w:pPr>
            <w:r>
              <w:rPr>
                <w:rStyle w:val=""/>
              </w:rPr>
              <w:t xml:space="preserve">Bewegungsmelder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Objektiv Typ</w:t>
            </w:r>
          </w:p>
        </w:tc>
        <w:tc>
          <w:tcPr>
            <w:tcW w:w="4500" w:type="dxa"/>
            <w:vAlign w:val="top"/>
          </w:tcPr>
          <w:p>
            <w:pPr>
              <w:spacing w:after="10"/>
            </w:pPr>
            <w:r>
              <w:rPr>
                <w:rStyle w:val=""/>
              </w:rPr>
              <w:t xml:space="preserve">Festbrennweite</w:t>
            </w:r>
          </w:p>
        </w:tc>
      </w:tr>
      <w:tr>
        <w:tc>
          <w:tcPr>
            <w:tcW w:w="4500" w:type="dxa"/>
            <w:vAlign w:val="top"/>
          </w:tcPr>
          <w:p>
            <w:pPr>
              <w:spacing w:after="10"/>
            </w:pPr>
            <w:r>
              <w:rPr>
                <w:rStyle w:val=""/>
              </w:rPr>
              <w:t xml:space="preserve">Brennweite</w:t>
            </w:r>
          </w:p>
        </w:tc>
        <w:tc>
          <w:tcPr>
            <w:tcW w:w="4500" w:type="dxa"/>
            <w:vAlign w:val="top"/>
          </w:tcPr>
          <w:p>
            <w:pPr>
              <w:spacing w:after="10"/>
            </w:pPr>
            <w:r>
              <w:rPr>
                <w:rStyle w:val=""/>
              </w:rPr>
              <w:t xml:space="preserve">7,5 mm</w:t>
            </w:r>
          </w:p>
        </w:tc>
      </w:tr>
      <w:tr>
        <w:tc>
          <w:tcPr>
            <w:tcW w:w="4500" w:type="dxa"/>
            <w:vAlign w:val="top"/>
          </w:tcPr>
          <w:p>
            <w:pPr>
              <w:spacing w:after="10"/>
            </w:pPr>
            <w:r>
              <w:rPr>
                <w:rStyle w:val=""/>
              </w:rPr>
              <w:t xml:space="preserve">Bildwinkel horizontal</w:t>
            </w:r>
          </w:p>
        </w:tc>
        <w:tc>
          <w:tcPr>
            <w:tcW w:w="4500" w:type="dxa"/>
            <w:vAlign w:val="top"/>
          </w:tcPr>
          <w:p>
            <w:pPr>
              <w:spacing w:after="10"/>
            </w:pPr>
            <w:r>
              <w:rPr>
                <w:rStyle w:val=""/>
              </w:rPr>
              <w:t xml:space="preserve">45 °</w:t>
            </w:r>
          </w:p>
        </w:tc>
      </w:tr>
      <w:tr>
        <w:tc>
          <w:tcPr>
            <w:tcW w:w="4500" w:type="dxa"/>
            <w:vAlign w:val="top"/>
          </w:tcPr>
          <w:p>
            <w:pPr>
              <w:spacing w:after="10"/>
            </w:pPr>
            <w:r>
              <w:rPr>
                <w:rStyle w:val=""/>
              </w:rPr>
              <w:t xml:space="preserve">Bildwinkel vertikal</w:t>
            </w:r>
          </w:p>
        </w:tc>
        <w:tc>
          <w:tcPr>
            <w:tcW w:w="4500" w:type="dxa"/>
            <w:vAlign w:val="top"/>
          </w:tcPr>
          <w:p>
            <w:pPr>
              <w:spacing w:after="10"/>
            </w:pPr>
            <w:r>
              <w:rPr>
                <w:rStyle w:val=""/>
              </w:rPr>
              <w:t xml:space="preserve">35 °</w:t>
            </w:r>
          </w:p>
        </w:tc>
      </w:tr>
      <w:tr>
        <w:tc>
          <w:tcPr>
            <w:tcW w:w="4500" w:type="dxa"/>
            <w:vAlign w:val="top"/>
          </w:tcPr>
          <w:p>
            <w:pPr>
              <w:spacing w:after="10"/>
            </w:pPr>
            <w:r>
              <w:rPr>
                <w:rStyle w:val=""/>
              </w:rPr>
              <w:t xml:space="preserve">Detektionsreichweite (m)</w:t>
            </w:r>
          </w:p>
        </w:tc>
        <w:tc>
          <w:tcPr>
            <w:tcW w:w="4500" w:type="dxa"/>
            <w:vAlign w:val="top"/>
          </w:tcPr>
          <w:p>
            <w:pPr>
              <w:spacing w:after="10"/>
            </w:pPr>
            <w:r>
              <w:rPr>
                <w:rStyle w:val=""/>
              </w:rPr>
              <w:t xml:space="preserve">235</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Außen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Pantone Cool Gray 1C</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Composite (FBAS)</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Alarmausgänge</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Ethernet-Schnittstelle</w:t>
            </w:r>
          </w:p>
        </w:tc>
        <w:tc>
          <w:tcPr>
            <w:tcW w:w="4500" w:type="dxa"/>
            <w:vAlign w:val="top"/>
          </w:tcPr>
          <w:p>
            <w:pPr>
              <w:spacing w:after="10"/>
            </w:pPr>
            <w:r>
              <w:rPr>
                <w:rStyle w:val=""/>
              </w:rPr>
              <w:t xml:space="preserve">10Base-T, 100Base-TX</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USB, Ethernet</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microSDHC-Karte, microSDXC-Karte</w:t>
            </w:r>
          </w:p>
        </w:tc>
      </w:tr>
      <w:tr>
        <w:tc>
          <w:tcPr>
            <w:tcW w:w="4500" w:type="dxa"/>
            <w:vAlign w:val="top"/>
          </w:tcPr>
          <w:p>
            <w:pPr>
              <w:spacing w:after="10"/>
            </w:pPr>
            <w:r>
              <w:rPr>
                <w:rStyle w:val=""/>
              </w:rPr>
              <w:t xml:space="preserve">Analysefunktionen</w:t>
            </w:r>
          </w:p>
        </w:tc>
        <w:tc>
          <w:tcPr>
            <w:tcW w:w="4500" w:type="dxa"/>
            <w:vAlign w:val="top"/>
          </w:tcPr>
          <w:p>
            <w:pPr>
              <w:spacing w:after="10"/>
            </w:pPr>
            <w:r>
              <w:rPr>
                <w:rStyle w:val=""/>
              </w:rPr>
              <w:t xml:space="preserve">Bewegungserkennung (Motion Detection), Manipulationsschutz, Trip wire Detektion (Stolperdraht) mit  Zählfunktion und Richtungserkennung, Bereichsüberwachung</w:t>
            </w:r>
          </w:p>
        </w:tc>
      </w:tr>
      <w:tr>
        <w:tc>
          <w:tcPr>
            <w:tcW w:w="4500" w:type="dxa"/>
            <w:vAlign w:val="top"/>
          </w:tcPr>
          <w:p>
            <w:pPr>
              <w:spacing w:after="10"/>
            </w:pPr>
            <w:r>
              <w:rPr>
                <w:rStyle w:val=""/>
              </w:rPr>
              <w:t xml:space="preserve">Montageart</w:t>
            </w:r>
          </w:p>
        </w:tc>
        <w:tc>
          <w:tcPr>
            <w:tcW w:w="4500" w:type="dxa"/>
            <w:vAlign w:val="top"/>
          </w:tcPr>
          <w:p>
            <w:pPr>
              <w:spacing w:after="10"/>
            </w:pPr>
            <w:r>
              <w:rPr>
                <w:rStyle w:val=""/>
              </w:rPr>
              <w:t xml:space="preserve">Wandmontage, Deckenmontage</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12VDC, 24VAC, PoE (IEEE-802.3af)</w:t>
            </w:r>
          </w:p>
        </w:tc>
      </w:tr>
      <w:tr>
        <w:tc>
          <w:tcPr>
            <w:tcW w:w="4500" w:type="dxa"/>
            <w:vAlign w:val="top"/>
          </w:tcPr>
          <w:p>
            <w:pPr>
              <w:spacing w:after="10"/>
            </w:pPr>
            <w:r>
              <w:rPr>
                <w:rStyle w:val=""/>
              </w:rPr>
              <w:t xml:space="preserve">Leistungsaufnahme</w:t>
            </w:r>
          </w:p>
        </w:tc>
        <w:tc>
          <w:tcPr>
            <w:tcW w:w="4500" w:type="dxa"/>
            <w:vAlign w:val="top"/>
          </w:tcPr>
          <w:p>
            <w:pPr>
              <w:spacing w:after="10"/>
            </w:pPr>
            <w:r>
              <w:rPr>
                <w:rStyle w:val=""/>
              </w:rPr>
              <w:t xml:space="preserve">12W</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-35°C ~ +50°C</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IP67</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ja, ONVIF Profile S</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219420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Wichtiger Hinweis zum Handel mit 25Hz-Wärmebildkameras&lt;br&gt;
Der Handel mit Wärmebildkameras mit einer Bildwiederholrate von 25fps (25Hz) bedarf neuerdings einer schriftlichen Erklärung, welche von der US-Regierung eingefordert wird. 25Hz-Wärmebildkameras dürfen demnach ausschließlich in folgende Länder exportiert werden: &lt;br&gt;
Argentina, Australia, Austria, Belgium, Bulgaria, Canada, Croatia, Czech Republic, Denmark, Estonia, Finland, France, Germany, Greece, Hungary, Iceland, Ireland, Italy, Japan, Latvia, Lithuania, Luxembourg, Netherlands, New Zealand, Norway, Poland, Portugal, Romania, Slovakia, Slovenia, South Korea, Spain, Sweden, Switzerland, Turkey and the United Kingdom&lt;br&gt;
Um dies sicher zu stellen, ist jedes an einem Handel mit 25Hz-Wärmebildkameras beteiligte Unternehmen inklusive dem Endkunden seitens der US-Regierung verpflichtet, den Text eines entsprechenden Dokuments auf seinen firmeneigenen Briefkopf zu drucken, zu unterzeichnen und per Post an nachstehende Adresse zu schicken. Jedes Unternehmen ist verpflichtet, eine Kopie des unterzeichneten Dokuments für mindestens 5 Jahre aufzubewahren und dies nach Aufforderung den US-Behörden vorzulegen! Die Auslieferung einer Bestellung kann erst erfolgen, nachdem alle Dokumente bei FLIR eingereicht wurden.&lt;br&gt;
VIDEOR E. Hartig GmbH
Kaufmännische Abwicklung
Carl-Zeiss-Straße 8 
D-63322 Rödermark
Deutschland&lt;br&gt;
&lt;a href="http://eneo-security.com/media/wysiwyg/docs/FLIR/FLIR_Consignee_Statement.pdf" target="_blank" title=?FLIR Consignee Statement?&gt;Das Originaldokument kann hier heruntergeladen werden.&lt;/a&gt; Das Dokument ist in der deutschen Fassung hinterlegt.&lt;br&gt;
Wärmebildkameras mit 8,3fps und 9fps Bildwiederholrate (8,3/9Hz) sind von dieser Regelung nicht betroffen, gegebenenfalls sollte eine solche Version einer 25Hz-Version vorgezogen werden.</w:t>
      </w:r>
    </w:p>
    <w:p>
      <w:pPr>
        <w:pStyle w:val="p2Style"/>
      </w:pPr>
      <w:r>
        <w:rPr>
          <w:rStyle w:val="head2Style"/>
        </w:rPr>
        <w:t xml:space="preserve"/>
      </w:r>
    </w:p>
    <w:p>
      <w:pPr>
        <w:pStyle w:val="p2Style"/>
      </w:pPr>
      <w:r>
        <w:rPr>
          <w:rStyle w:val="head2Style"/>
        </w:rPr>
        <w:t xml:space="preserve">Zubehör</w:t>
      </w:r>
    </w:p>
    <w:tbl>
      <w:tblPr>
        <w:tblStyle w:val="related_products"/>
      </w:tblPr>
      <w:tr>
        <w:tc>
          <w:tcPr>
            <w:tcW w:w="4500" w:type="dxa"/>
            <w:vAlign w:val="top"/>
          </w:tcPr>
          <w:p>
            <w:pPr>
              <w:spacing w:after="10"/>
            </w:pPr>
            <w:r>
              <w:rPr>
                <w:rStyle w:val=""/>
              </w:rPr>
              <w:t xml:space="preserve">PM-42A</w:t>
            </w:r>
          </w:p>
        </w:tc>
        <w:tc>
          <w:tcPr>
            <w:tcW w:w="4500" w:type="dxa"/>
            <w:vAlign w:val="top"/>
          </w:tcPr>
          <w:p>
            <w:pPr>
              <w:spacing w:after="10"/>
            </w:pPr>
            <w:r>
              <w:rPr>
                <w:rStyle w:val=""/>
              </w:rPr>
              <w:t xml:space="preserve">Mastmontageadapter für eneo Candid, Candid S, Candid M, Candid L, W3, WB1, AK-5, AK-4</w:t>
            </w:r>
          </w:p>
        </w:tc>
      </w:tr>
      <w:tr>
        <w:tc>
          <w:tcPr>
            <w:tcW w:w="4500" w:type="dxa"/>
            <w:vAlign w:val="top"/>
          </w:tcPr>
          <w:p>
            <w:pPr>
              <w:spacing w:after="10"/>
            </w:pPr>
            <w:r>
              <w:rPr>
                <w:rStyle w:val=""/>
              </w:rPr>
              <w:t xml:space="preserve">AK-4</w:t>
            </w:r>
          </w:p>
        </w:tc>
        <w:tc>
          <w:tcPr>
            <w:tcW w:w="4500" w:type="dxa"/>
            <w:vAlign w:val="top"/>
          </w:tcPr>
          <w:p>
            <w:pPr>
              <w:spacing w:after="10"/>
            </w:pPr>
            <w:r>
              <w:rPr>
                <w:rStyle w:val=""/>
              </w:rPr>
              <w:t xml:space="preserve">Kamera Anschlussbox  für Candid Small, Candid Medium, Candid Large Serie</w:t>
            </w:r>
          </w:p>
        </w:tc>
      </w:tr>
      <w:tr>
        <w:tc>
          <w:tcPr>
            <w:tcW w:w="4500" w:type="dxa"/>
            <w:vAlign w:val="top"/>
          </w:tcPr>
          <w:p>
            <w:pPr>
              <w:spacing w:after="10"/>
            </w:pPr>
            <w:r>
              <w:rPr>
                <w:rStyle w:val=""/>
              </w:rPr>
              <w:t xml:space="preserve">VT-PS12DC-11</w:t>
            </w:r>
          </w:p>
        </w:tc>
        <w:tc>
          <w:tcPr>
            <w:tcW w:w="4500" w:type="dxa"/>
            <w:vAlign w:val="top"/>
          </w:tcPr>
          <w:p>
            <w:pPr>
              <w:spacing w:after="10"/>
            </w:pPr>
            <w:r>
              <w:rPr>
                <w:rStyle w:val=""/>
              </w:rPr>
              <w:t xml:space="preserve">Stecker Netzgerät, 100-240VAC/12VDC (1,0A), stabilisiert, mit Hohlstecker</w:t>
            </w:r>
          </w:p>
        </w:tc>
      </w:tr>
      <w:tr>
        <w:tc>
          <w:tcPr>
            <w:tcW w:w="4500" w:type="dxa"/>
            <w:vAlign w:val="top"/>
          </w:tcPr>
          <w:p>
            <w:pPr>
              <w:spacing w:after="10"/>
            </w:pPr>
            <w:r>
              <w:rPr>
                <w:rStyle w:val=""/>
              </w:rPr>
              <w:t xml:space="preserve">AK-4 Wireless Kit</w:t>
            </w:r>
          </w:p>
        </w:tc>
        <w:tc>
          <w:tcPr>
            <w:tcW w:w="4500" w:type="dxa"/>
            <w:vAlign w:val="top"/>
          </w:tcPr>
          <w:p>
            <w:pPr>
              <w:spacing w:after="10"/>
            </w:pPr>
            <w:r>
              <w:rPr>
                <w:rStyle w:val=""/>
              </w:rPr>
              <w:t xml:space="preserve">WLAN Installationsset, 150Mbps, 5 GHz,16dBi</w:t>
            </w:r>
          </w:p>
        </w:tc>
      </w:tr>
      <w:tr>
        <w:tc>
          <w:tcPr>
            <w:tcW w:w="4500" w:type="dxa"/>
            <w:vAlign w:val="top"/>
          </w:tcPr>
          <w:p>
            <w:pPr>
              <w:spacing w:after="10"/>
            </w:pPr>
            <w:r>
              <w:rPr>
                <w:rStyle w:val=""/>
              </w:rPr>
              <w:t xml:space="preserve">ENX-900P</w:t>
            </w:r>
          </w:p>
        </w:tc>
        <w:tc>
          <w:tcPr>
            <w:tcW w:w="4500" w:type="dxa"/>
            <w:vAlign w:val="top"/>
          </w:tcPr>
          <w:p>
            <w:pPr>
              <w:spacing w:after="10"/>
            </w:pPr>
            <w:r>
              <w:rPr>
                <w:rStyle w:val=""/>
              </w:rPr>
              <w:t xml:space="preserve">PoE Extender, RJ45, Innen, bis 100m, Gigabit Ethernet, Half/Full Duplex</w:t>
            </w:r>
          </w:p>
        </w:tc>
      </w:tr>
      <w:tr>
        <w:tc>
          <w:tcPr>
            <w:tcW w:w="4500" w:type="dxa"/>
            <w:vAlign w:val="top"/>
          </w:tcPr>
          <w:p>
            <w:pPr>
              <w:spacing w:after="10"/>
            </w:pPr>
            <w:r>
              <w:rPr>
                <w:rStyle w:val=""/>
              </w:rPr>
              <w:t xml:space="preserve">ECB-1</w:t>
            </w:r>
          </w:p>
        </w:tc>
        <w:tc>
          <w:tcPr>
            <w:tcW w:w="4500" w:type="dxa"/>
            <w:vAlign w:val="top"/>
          </w:tcPr>
          <w:p>
            <w:pPr>
              <w:spacing w:after="10"/>
            </w:pPr>
            <w:r>
              <w:rPr>
                <w:rStyle w:val=""/>
              </w:rPr>
              <w:t xml:space="preserve">Medienkonverter, Innen, 1x RJ45, 1x SFP</w:t>
            </w:r>
          </w:p>
        </w:tc>
      </w:tr>
      <w:tr>
        <w:tc>
          <w:tcPr>
            <w:tcW w:w="4500" w:type="dxa"/>
            <w:vAlign w:val="top"/>
          </w:tcPr>
          <w:p>
            <w:pPr>
              <w:spacing w:after="10"/>
            </w:pPr>
            <w:r>
              <w:rPr>
                <w:rStyle w:val=""/>
              </w:rPr>
              <w:t xml:space="preserve">ENI-900P</w:t>
            </w:r>
          </w:p>
        </w:tc>
        <w:tc>
          <w:tcPr>
            <w:tcW w:w="4500" w:type="dxa"/>
            <w:vAlign w:val="top"/>
          </w:tcPr>
          <w:p>
            <w:pPr>
              <w:spacing w:after="10"/>
            </w:pPr>
            <w:r>
              <w:rPr>
                <w:rStyle w:val=""/>
              </w:rPr>
              <w:t xml:space="preserve">PoE Injektor, Gigabit, Innen, PoE+, RJ45</w:t>
            </w:r>
          </w:p>
        </w:tc>
      </w:tr>
      <w:tr>
        <w:tc>
          <w:tcPr>
            <w:tcW w:w="4500" w:type="dxa"/>
            <w:vAlign w:val="top"/>
          </w:tcPr>
          <w:p>
            <w:pPr>
              <w:spacing w:after="10"/>
            </w:pPr>
            <w:r>
              <w:rPr>
                <w:rStyle w:val=""/>
              </w:rPr>
              <w:t xml:space="preserve">EVX-900R</w:t>
            </w:r>
          </w:p>
        </w:tc>
        <w:tc>
          <w:tcPr>
            <w:tcW w:w="4500" w:type="dxa"/>
            <w:vAlign w:val="top"/>
          </w:tcPr>
          <w:p>
            <w:pPr>
              <w:spacing w:after="10"/>
            </w:pPr>
            <w:r>
              <w:rPr>
                <w:rStyle w:val=""/>
              </w:rPr>
              <w:t xml:space="preserve">Medienkonverter, Innen, Sender-Empfänger, 1x RJ45, 1x RJ-11, 12V, bis 1000m</w:t>
            </w:r>
          </w:p>
        </w:tc>
      </w:tr>
      <w:tr>
        <w:tc>
          <w:tcPr>
            <w:tcW w:w="4500" w:type="dxa"/>
            <w:vAlign w:val="top"/>
          </w:tcPr>
          <w:p>
            <w:pPr>
              <w:spacing w:after="10"/>
            </w:pPr>
            <w:r>
              <w:rPr>
                <w:rStyle w:val=""/>
              </w:rPr>
              <w:t xml:space="preserve">EVX-900B</w:t>
            </w:r>
          </w:p>
        </w:tc>
        <w:tc>
          <w:tcPr>
            <w:tcW w:w="4500" w:type="dxa"/>
            <w:vAlign w:val="top"/>
          </w:tcPr>
          <w:p>
            <w:pPr>
              <w:spacing w:after="10"/>
            </w:pPr>
            <w:r>
              <w:rPr>
                <w:rStyle w:val=""/>
              </w:rPr>
              <w:t xml:space="preserve">Medienkonverter, Innen Sender-Empfänger, 1x RJ45, 1x BNC, 12V, bis 1000m</w:t>
            </w:r>
          </w:p>
        </w:tc>
      </w:tr>
      <w:tr>
        <w:tc>
          <w:tcPr>
            <w:tcW w:w="4500" w:type="dxa"/>
            <w:vAlign w:val="top"/>
          </w:tcPr>
          <w:p>
            <w:pPr>
              <w:spacing w:after="10"/>
            </w:pPr>
            <w:r>
              <w:rPr>
                <w:rStyle w:val=""/>
              </w:rPr>
              <w:t xml:space="preserve">EPS-1008</w:t>
            </w:r>
          </w:p>
        </w:tc>
        <w:tc>
          <w:tcPr>
            <w:tcW w:w="4500" w:type="dxa"/>
            <w:vAlign w:val="top"/>
          </w:tcPr>
          <w:p>
            <w:pPr>
              <w:spacing w:after="10"/>
            </w:pPr>
            <w:r>
              <w:rPr>
                <w:rStyle w:val=""/>
              </w:rPr>
              <w:t xml:space="preserve">PoE Switch, 8x PoE+, 1x RJ45, 1x SFP, 130W, Metallgehäuse</w:t>
            </w:r>
          </w:p>
        </w:tc>
      </w:tr>
      <w:tr>
        <w:tc>
          <w:tcPr>
            <w:tcW w:w="4500" w:type="dxa"/>
            <w:vAlign w:val="top"/>
          </w:tcPr>
          <w:p>
            <w:pPr>
              <w:spacing w:after="10"/>
            </w:pPr>
            <w:r>
              <w:rPr>
                <w:rStyle w:val=""/>
              </w:rPr>
              <w:t xml:space="preserve">EPS-1016</w:t>
            </w:r>
          </w:p>
        </w:tc>
        <w:tc>
          <w:tcPr>
            <w:tcW w:w="4500" w:type="dxa"/>
            <w:vAlign w:val="top"/>
          </w:tcPr>
          <w:p>
            <w:pPr>
              <w:spacing w:after="10"/>
            </w:pPr>
            <w:r>
              <w:rPr>
                <w:rStyle w:val=""/>
              </w:rPr>
              <w:t xml:space="preserve">PoE Switch,16x PoE+, 2x RJ45, 2x SFP, 250W, 19" Rack</w:t>
            </w:r>
          </w:p>
        </w:tc>
      </w:tr>
      <w:tr>
        <w:tc>
          <w:tcPr>
            <w:tcW w:w="4500" w:type="dxa"/>
            <w:vAlign w:val="top"/>
          </w:tcPr>
          <w:p>
            <w:pPr>
              <w:spacing w:after="10"/>
            </w:pPr>
            <w:r>
              <w:rPr>
                <w:rStyle w:val=""/>
              </w:rPr>
              <w:t xml:space="preserve">IPB-72A0010M0A</w:t>
            </w:r>
          </w:p>
        </w:tc>
        <w:tc>
          <w:tcPr>
            <w:tcW w:w="4500" w:type="dxa"/>
            <w:vAlign w:val="top"/>
          </w:tcPr>
          <w:p>
            <w:pPr>
              <w:spacing w:after="10"/>
            </w:pPr>
            <w:r>
              <w:rPr>
                <w:rStyle w:val=""/>
              </w:rPr>
              <w:t xml:space="preserve">1/3" Netzwerk Kamera, WDR, 1920x1080, Tag/Nacht, 10x AF Zoom 5,1-51 mm, Infrarot, IP67</w:t>
            </w:r>
          </w:p>
        </w:tc>
      </w:tr>
      <w:tr>
        <w:tc>
          <w:tcPr>
            <w:tcW w:w="4500" w:type="dxa"/>
            <w:vAlign w:val="top"/>
          </w:tcPr>
          <w:p>
            <w:pPr>
              <w:spacing w:after="10"/>
            </w:pPr>
            <w:r>
              <w:rPr>
                <w:rStyle w:val=""/>
              </w:rPr>
              <w:t xml:space="preserve">VerticalView Adaptor</w:t>
            </w:r>
          </w:p>
        </w:tc>
        <w:tc>
          <w:tcPr>
            <w:tcW w:w="4500" w:type="dxa"/>
            <w:vAlign w:val="top"/>
          </w:tcPr>
          <w:p>
            <w:pPr>
              <w:spacing w:after="10"/>
            </w:pPr>
            <w:r>
              <w:rPr>
                <w:rStyle w:val=""/>
              </w:rPr>
              <w:t xml:space="preserve">Für IP Candid Medium Gehäuse bei Betrieb im VerticalView Mode</w:t>
            </w:r>
          </w:p>
        </w:tc>
      </w:tr>
      <w:tr>
        <w:tc>
          <w:tcPr>
            <w:tcW w:w="4500" w:type="dxa"/>
            <w:vAlign w:val="top"/>
          </w:tcPr>
          <w:p>
            <w:pPr>
              <w:spacing w:after="10"/>
            </w:pPr>
            <w:r>
              <w:rPr>
                <w:rStyle w:val=""/>
              </w:rPr>
              <w:t xml:space="preserve">IAR-7SE1024MMA</w:t>
            </w:r>
          </w:p>
        </w:tc>
        <w:tc>
          <w:tcPr>
            <w:tcW w:w="4500" w:type="dxa"/>
            <w:vAlign w:val="top"/>
          </w:tcPr>
          <w:p>
            <w:pPr>
              <w:spacing w:after="10"/>
            </w:pPr>
            <w:r>
              <w:rPr>
                <w:rStyle w:val=""/>
              </w:rPr>
              <w:t xml:space="preserve">Gigabit Switch, 2x RJ45, 24x PoE 100Mbps, 2xSFP 1000Mbps, 390W, Managed, 19", 1HE</w:t>
            </w:r>
          </w:p>
        </w:tc>
      </w:tr>
      <w:tr>
        <w:tc>
          <w:tcPr>
            <w:tcW w:w="4500" w:type="dxa"/>
            <w:vAlign w:val="top"/>
          </w:tcPr>
          <w:p>
            <w:pPr>
              <w:spacing w:after="10"/>
            </w:pPr>
            <w:r>
              <w:rPr>
                <w:rStyle w:val=""/>
              </w:rPr>
              <w:t xml:space="preserve">IAM-5SE1008MUA</w:t>
            </w:r>
          </w:p>
        </w:tc>
        <w:tc>
          <w:tcPr>
            <w:tcW w:w="4500" w:type="dxa"/>
            <w:vAlign w:val="top"/>
          </w:tcPr>
          <w:p>
            <w:pPr>
              <w:spacing w:after="10"/>
            </w:pPr>
            <w:r>
              <w:rPr>
                <w:rStyle w:val=""/>
              </w:rPr>
              <w:t xml:space="preserve">Gigabit Switch, 8xPoE 100Mbps, 1x RJ45 und 1x SFP 1000Mbps, Unmanaged, Industrie Design</w:t>
            </w:r>
          </w:p>
        </w:tc>
      </w:tr>
      <w:tr>
        <w:tc>
          <w:tcPr>
            <w:tcW w:w="4500" w:type="dxa"/>
            <w:vAlign w:val="top"/>
          </w:tcPr>
          <w:p>
            <w:pPr>
              <w:spacing w:after="10"/>
            </w:pPr>
            <w:r>
              <w:rPr>
                <w:rStyle w:val=""/>
              </w:rPr>
              <w:t xml:space="preserve">IAM-5SG1008MMA</w:t>
            </w:r>
          </w:p>
        </w:tc>
        <w:tc>
          <w:tcPr>
            <w:tcW w:w="4500" w:type="dxa"/>
            <w:vAlign w:val="top"/>
          </w:tcPr>
          <w:p>
            <w:pPr>
              <w:spacing w:after="10"/>
            </w:pPr>
            <w:r>
              <w:rPr>
                <w:rStyle w:val=""/>
              </w:rPr>
              <w:t xml:space="preserve">Gigabit Switch, Managed, 240W, 8x PoE, 4x SFP, 1000Mbps, Industrie Design, -40°C~+75°C</w:t>
            </w:r>
          </w:p>
        </w:tc>
      </w:tr>
      <w:tr>
        <w:tc>
          <w:tcPr>
            <w:tcW w:w="4500" w:type="dxa"/>
            <w:vAlign w:val="top"/>
          </w:tcPr>
          <w:p>
            <w:pPr>
              <w:spacing w:after="10"/>
            </w:pPr>
            <w:r>
              <w:rPr>
                <w:rStyle w:val=""/>
              </w:rPr>
              <w:t xml:space="preserve">IAD-5SG1004MUA</w:t>
            </w:r>
          </w:p>
        </w:tc>
        <w:tc>
          <w:tcPr>
            <w:tcW w:w="4500" w:type="dxa"/>
            <w:vAlign w:val="top"/>
          </w:tcPr>
          <w:p>
            <w:pPr>
              <w:spacing w:after="10"/>
            </w:pPr>
            <w:r>
              <w:rPr>
                <w:rStyle w:val=""/>
              </w:rPr>
              <w:t xml:space="preserve">Gigabit Switch, Unmanaged, 60W, 4x PoE, 2x RJ45, 10/100/1000 Mbps, Desktop</w:t>
            </w:r>
          </w:p>
        </w:tc>
      </w:tr>
      <w:tr>
        <w:tc>
          <w:tcPr>
            <w:tcW w:w="4500" w:type="dxa"/>
            <w:vAlign w:val="top"/>
          </w:tcPr>
          <w:p>
            <w:pPr>
              <w:spacing w:after="10"/>
            </w:pPr>
            <w:r>
              <w:rPr>
                <w:rStyle w:val=""/>
              </w:rPr>
              <w:t xml:space="preserve">IAD-5SG1008MUA</w:t>
            </w:r>
          </w:p>
        </w:tc>
        <w:tc>
          <w:tcPr>
            <w:tcW w:w="4500" w:type="dxa"/>
            <w:vAlign w:val="top"/>
          </w:tcPr>
          <w:p>
            <w:pPr>
              <w:spacing w:after="10"/>
            </w:pPr>
            <w:r>
              <w:rPr>
                <w:rStyle w:val=""/>
              </w:rPr>
              <w:t xml:space="preserve">Gigabit Switch, Unmanaged, 120W, 8x PoE, 1x SFP, 1x RJ45, 10/100/1000 Mbps, Desktop</w:t>
            </w:r>
          </w:p>
        </w:tc>
      </w:tr>
      <w:tr>
        <w:tc>
          <w:tcPr>
            <w:tcW w:w="4500" w:type="dxa"/>
            <w:vAlign w:val="top"/>
          </w:tcPr>
          <w:p>
            <w:pPr>
              <w:spacing w:after="10"/>
            </w:pPr>
            <w:r>
              <w:rPr>
                <w:rStyle w:val=""/>
              </w:rPr>
              <w:t xml:space="preserve">IAR-7SG1008MMA</w:t>
            </w:r>
          </w:p>
        </w:tc>
        <w:tc>
          <w:tcPr>
            <w:tcW w:w="4500" w:type="dxa"/>
            <w:vAlign w:val="top"/>
          </w:tcPr>
          <w:p>
            <w:pPr>
              <w:spacing w:after="10"/>
            </w:pPr>
            <w:r>
              <w:rPr>
                <w:rStyle w:val=""/>
              </w:rPr>
              <w:t xml:space="preserve">Gigabit Switch, Managed, 135W, 8x PoE, 2x SFP, 2x RJ45, 10/100/1000 Mbps, 19", 1 HE</w:t>
            </w:r>
          </w:p>
        </w:tc>
      </w:tr>
      <w:tr>
        <w:tc>
          <w:tcPr>
            <w:tcW w:w="4500" w:type="dxa"/>
            <w:vAlign w:val="top"/>
          </w:tcPr>
          <w:p>
            <w:pPr>
              <w:spacing w:after="10"/>
            </w:pPr>
            <w:r>
              <w:rPr>
                <w:rStyle w:val=""/>
              </w:rPr>
              <w:t xml:space="preserve">IAR-7SG1016MMA</w:t>
            </w:r>
          </w:p>
        </w:tc>
        <w:tc>
          <w:tcPr>
            <w:tcW w:w="4500" w:type="dxa"/>
            <w:vAlign w:val="top"/>
          </w:tcPr>
          <w:p>
            <w:pPr>
              <w:spacing w:after="10"/>
            </w:pPr>
            <w:r>
              <w:rPr>
                <w:rStyle w:val=""/>
              </w:rPr>
              <w:t xml:space="preserve">Gigabit Switch, Managed, 270W, 16x PoE, 4x SFP, 10/100/1000 Mbps, 19", 1HE</w:t>
            </w:r>
          </w:p>
        </w:tc>
      </w:tr>
      <w:tr>
        <w:tc>
          <w:tcPr>
            <w:tcW w:w="4500" w:type="dxa"/>
            <w:vAlign w:val="top"/>
          </w:tcPr>
          <w:p>
            <w:pPr>
              <w:spacing w:after="10"/>
            </w:pPr>
            <w:r>
              <w:rPr>
                <w:rStyle w:val=""/>
              </w:rPr>
              <w:t xml:space="preserve">IAR-7SG1024MMA</w:t>
            </w:r>
          </w:p>
        </w:tc>
        <w:tc>
          <w:tcPr>
            <w:tcW w:w="4500" w:type="dxa"/>
            <w:vAlign w:val="top"/>
          </w:tcPr>
          <w:p>
            <w:pPr>
              <w:spacing w:after="10"/>
            </w:pPr>
            <w:r>
              <w:rPr>
                <w:rStyle w:val=""/>
              </w:rPr>
              <w:t xml:space="preserve">Gigabit Switch, Managed, 390W,  24x PoE,  4x SFP, 10/100/1000 Mbps, 19", 1HE</w:t>
            </w:r>
          </w:p>
        </w:tc>
      </w:tr>
      <w:tr>
        <w:tc>
          <w:tcPr>
            <w:tcW w:w="4500" w:type="dxa"/>
            <w:vAlign w:val="top"/>
          </w:tcPr>
          <w:p>
            <w:pPr>
              <w:spacing w:after="10"/>
            </w:pPr>
            <w:r>
              <w:rPr>
                <w:rStyle w:val=""/>
              </w:rPr>
              <w:t xml:space="preserve">eneo Site Manager</w:t>
            </w:r>
          </w:p>
        </w:tc>
        <w:tc>
          <w:tcPr>
            <w:tcW w:w="4500" w:type="dxa"/>
            <w:vAlign w:val="top"/>
          </w:tcPr>
          <w:p>
            <w:pPr>
              <w:spacing w:after="10"/>
            </w:pPr>
            <w:r>
              <w:rPr>
                <w:rStyle w:val=""/>
              </w:rPr>
              <w:t xml:space="preserve">Management Software für eneo IP Kameras</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2018-04-12T10:20:35+00:00</dcterms:created>
  <dcterms:modified xsi:type="dcterms:W3CDTF">2018-04-12T10:20:35+00:00</dcterms:modified>
  <dc:title/>
  <dc:description/>
  <dc:subject/>
  <cp:keywords/>
  <cp:category/>
</cp:coreProperties>
</file>